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Design de mode, textiles et environnement</w:t>
      </w:r>
    </w:p>
    <w:p>
      <w:pPr>
        <w:jc w:val="center"/>
      </w:pPr>
      <w:r>
        <w:rPr>
          <w:i/>
          <w:sz w:val="21"/>
        </w:rPr>
        <w:t>Support evalue : Rapport de stage ou d'activites professionnelles | Modalite : CCF | Option : Options mode ; textile-materiaux-surface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Design de mode, textiles et environnement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Options mode ; textile-materiaux-surface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 ou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U4.2 / E42 Rapport de stage ou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public/prive sous contrat, apprentissage habilite, FPC publique habilitee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Aucune grille publique distincte retrouvee ; le texte officiel du diplome reste la meilleure source publique.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https://www.education.gouv.fr/sites/default/files/document/bulletin_officiel_men_22_02-06-11_180896.pdf-232119.pdf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rapport ou du dossier en design de mode, textiles et 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contextualisation de l'experience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critique des situations, references et choix de conception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articulation entre stage et demarche creative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des supports et de la presentation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justification argumentee et recul critique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du rapport (présentation, expression écrite)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 rapport de stage ou d'activites professionnelles, le referentiel ancien et la logique de soutenance design.</w:t>
      </w:r>
    </w:p>
    <w:p>
      <w:r>
        <w:t>Le référentiel et la définition des modalités d'évaluation ne fournissent pas de grille publique directe. Les critères sont reconstitués à partir des objectifs du stage, qui visent à appréhender les réalités techniques et économiques de l'entreprise, le fonctionnement d'une unité d'étude et développement de produits, et à participer au développement et à l'industrialisation d'un produit.</w:t>
      </w:r>
    </w:p>
    <w:p>
      <w:r>
        <w:rPr>
          <w:sz w:val="17"/>
        </w:rPr>
        <w:t>Referentiel : https://www.education.gouv.fr/bo/2011/22/esrs1108984a.htm</w:t>
      </w:r>
    </w:p>
    <w:p>
      <w:r>
        <w:rPr>
          <w:sz w:val="17"/>
        </w:rPr>
        <w:t>Definition / modalites : https://www.education.gouv.fr/sites/default/files/document/bulletin_officiel_men_22_02-06-11_180896.pdf-232119.pdf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