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Design graphique</w:t>
      </w:r>
    </w:p>
    <w:p>
      <w:pPr>
        <w:jc w:val="center"/>
      </w:pPr>
      <w:r>
        <w:rPr>
          <w:i/>
          <w:sz w:val="21"/>
        </w:rPr>
        <w:t>Support evalue : Dossier professionnel ; rapport de stage ou d'activites professionnelles | Modalite : Ponctuelle | Option : Options communication et medias imprimes ; communication et medias numeriques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Design graphique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Options communication et medias imprimes ; communication et medias numeriques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Support present mais pas CCF sur cette sous-epreuve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Dossier professionnel ; rapport de stage ou d'activites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U6.2 Dossier professionnel ; U6.3 Rapport de stage ou d'activites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Toutes voies du tableau consulte : ces sous-epreuves sont en ponctuel oral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BO documente le dossier professionnel et le rapport de stage, sans grille publique distincte retrouvee.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https://www.education.gouv.fr/bo/12/Hebdo19/ESRS1208618A.htm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dossier professionnel et/ou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mise en forme et des supports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contextualisation de l'experience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articulation entre experience professionnelle et demarche graphique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critique des productions, outils et choix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presentation orale et 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du dossier professionnel et/ou du rapport de stage (cohérence avec le référentiel)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les sous-epreuves U6.2 et U6.3 du BO 2012 et la logique du referentiel de design graphique.</w:t>
      </w:r>
    </w:p>
    <w:p>
      <w:r>
        <w:t>Le rapport de stage ou d'activités professionnelles doit être en cohérence avec les exigences du référentiel du BTS Design graphique. L'évaluation porte sur la capacité du candidat à appréhender et réaliser un message écrit, à respecter les contraintes de la langue écrite, à synthétiser des informations et à répondre de façon argumentée à une question posée. Le dossier professionnel et le rapport de stage sont des supports pour la présentation orale.</w:t>
      </w:r>
    </w:p>
    <w:p>
      <w:r>
        <w:rPr>
          <w:sz w:val="17"/>
        </w:rPr>
        <w:t>Referentiel : https://www.education.gouv.fr/bo/12/Hebdo19/ESRS1208618A.htm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