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2"/>
        </w:rPr>
        <w:t>Fiche d'evaluation reconstituee - BTS Systemes numeriques</w:t>
      </w:r>
    </w:p>
    <w:p>
      <w:pPr>
        <w:jc w:val="center"/>
      </w:pPr>
      <w:r>
        <w:rPr>
          <w:i/>
          <w:sz w:val="21"/>
        </w:rPr>
        <w:t>Support evalue : Rapport d'activite en entreprise | Modalite : Ponctuelle | Option : Options informatique et reseaux ; electronique et communications</w:t>
      </w:r>
    </w:p>
    <w:p>
      <w:pPr>
        <w:jc w:val="center"/>
      </w:pPr>
      <w:r>
        <w:rPr>
          <w:b/>
          <w:color w:val="4F81BD"/>
        </w:rPr>
        <w:t>Fiche reconstituee a partir de criteres officiels</w:t>
      </w:r>
    </w:p>
    <w:p>
      <w:pPr>
        <w:spacing w:after="120"/>
      </w:pPr>
      <w:r>
        <w:rPr>
          <w:i/>
        </w:rPr>
        <w:t>Cette fiche est une reconstitution de travail a partir des sources publiques reperees au 28/04/2026. Elle ne remplace pas un formulaire national opposable lorsqu'une grille officielle complete existe par ailleurs.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rPr>
              <w:t>BTS</w:t>
            </w:r>
          </w:p>
        </w:tc>
        <w:tc>
          <w:tcPr>
            <w:tcW w:type="dxa" w:w="4535"/>
            <w:vAlign w:val="center"/>
          </w:tcPr>
          <w:p>
            <w:r>
              <w:t>BTS Systemes numeriques</w:t>
            </w:r>
          </w:p>
        </w:tc>
        <w:tc>
          <w:tcPr>
            <w:tcW w:type="dxa" w:w="1814"/>
            <w:vAlign w:val="center"/>
            <w:shd w:fill="D9EAF7"/>
          </w:tcPr>
          <w:p>
            <w:r>
              <w:rPr>
                <w:b/>
              </w:rPr>
              <w:t>Modalite</w:t>
            </w:r>
          </w:p>
        </w:tc>
        <w:tc>
          <w:tcPr>
            <w:tcW w:type="dxa" w:w="6009"/>
            <w:vAlign w:val="center"/>
          </w:tcPr>
          <w:p>
            <w:r>
              <w:t>Ponctuelle</w:t>
            </w:r>
          </w:p>
        </w:tc>
      </w:tr>
      <w:tr>
        <w:tc>
          <w:tcPr>
            <w:tcW w:type="dxa" w:w="1814"/>
            <w:vAlign w:val="center"/>
            <w:shd w:fill="D9EAF7"/>
          </w:tcPr>
          <w:p>
            <w:r>
              <w:rPr>
                <w:b/>
              </w:rPr>
              <w:t>Option</w:t>
            </w:r>
          </w:p>
        </w:tc>
        <w:tc>
          <w:tcPr>
            <w:tcW w:type="dxa" w:w="4535"/>
            <w:vAlign w:val="center"/>
          </w:tcPr>
          <w:p>
            <w:r>
              <w:t>Options informatique et reseaux ; electronique et communications</w:t>
            </w:r>
          </w:p>
        </w:tc>
        <w:tc>
          <w:tcPr>
            <w:tcW w:type="dxa" w:w="1814"/>
            <w:vAlign w:val="center"/>
            <w:shd w:fill="D9EAF7"/>
          </w:tcPr>
          <w:p>
            <w:r>
              <w:rPr>
                <w:b/>
              </w:rPr>
              <w:t>Statut documentaire</w:t>
            </w:r>
          </w:p>
        </w:tc>
        <w:tc>
          <w:tcPr>
            <w:tcW w:type="dxa" w:w="6009"/>
            <w:vAlign w:val="center"/>
          </w:tcPr>
          <w:p>
            <w:r>
              <w:t>Support present mais pas CCF sur cette sous-epreuve</w:t>
            </w:r>
          </w:p>
        </w:tc>
      </w:tr>
      <w:tr>
        <w:tc>
          <w:tcPr>
            <w:tcW w:type="dxa" w:w="1814"/>
            <w:vAlign w:val="center"/>
            <w:shd w:fill="D9EAF7"/>
          </w:tcPr>
          <w:p>
            <w:r>
              <w:rPr>
                <w:b/>
              </w:rPr>
              <w:t>Support</w:t>
            </w:r>
          </w:p>
        </w:tc>
        <w:tc>
          <w:tcPr>
            <w:tcW w:type="dxa" w:w="4535"/>
            <w:vAlign w:val="center"/>
          </w:tcPr>
          <w:p>
            <w:r>
              <w:t>Rapport d'activite en entreprise</w:t>
            </w:r>
          </w:p>
        </w:tc>
        <w:tc>
          <w:tcPr>
            <w:tcW w:type="dxa" w:w="1814"/>
            <w:vAlign w:val="center"/>
            <w:shd w:fill="D9EAF7"/>
          </w:tcPr>
          <w:p>
            <w:r>
              <w:rPr>
                <w:b/>
              </w:rPr>
              <w:t>Epreuve</w:t>
            </w:r>
          </w:p>
        </w:tc>
        <w:tc>
          <w:tcPr>
            <w:tcW w:type="dxa" w:w="6009"/>
            <w:vAlign w:val="center"/>
          </w:tcPr>
          <w:p>
            <w:r>
              <w:t>U6.1 / E61 Rapport d'activite en entreprise</w:t>
            </w:r>
          </w:p>
        </w:tc>
      </w:tr>
      <w:tr>
        <w:tc>
          <w:tcPr>
            <w:tcW w:type="dxa" w:w="1814"/>
            <w:vAlign w:val="center"/>
            <w:shd w:fill="D9EAF7"/>
          </w:tcPr>
          <w:p>
            <w:r>
              <w:rPr>
                <w:b/>
              </w:rPr>
              <w:t>Voies / modalites</w:t>
            </w:r>
          </w:p>
        </w:tc>
        <w:tc>
          <w:tcPr>
            <w:tcW w:type="dxa" w:w="4535"/>
            <w:vAlign w:val="center"/>
          </w:tcPr>
          <w:p>
            <w:r>
              <w:t>Toutes voies du tableau consulte : sous-epreuve en oral et non en CCF</w:t>
            </w:r>
          </w:p>
        </w:tc>
        <w:tc>
          <w:tcPr>
            <w:tcW w:type="dxa" w:w="1814"/>
            <w:vAlign w:val="center"/>
            <w:shd w:fill="D9EAF7"/>
          </w:tcPr>
          <w:p>
            <w:r>
              <w:rPr>
                <w:b/>
              </w:rPr>
              <w:t>Niveau de reconstitution</w:t>
            </w:r>
          </w:p>
        </w:tc>
        <w:tc>
          <w:tcPr>
            <w:tcW w:type="dxa" w:w="6009"/>
            <w:vAlign w:val="center"/>
          </w:tcPr>
          <w:p>
            <w:r>
              <w:t>Fiche reconstituee a partir de criteres officiels</w:t>
            </w:r>
          </w:p>
        </w:tc>
      </w:tr>
      <w:tr>
        <w:tc>
          <w:tcPr>
            <w:tcW w:type="dxa" w:w="1814"/>
            <w:vAlign w:val="center"/>
            <w:shd w:fill="D9EAF7"/>
          </w:tcPr>
          <w:p>
            <w:r>
              <w:rPr>
                <w:b/>
              </w:rPr>
              <w:t>Sources modele</w:t>
            </w:r>
          </w:p>
        </w:tc>
        <w:tc>
          <w:tcPr>
            <w:tcW w:type="dxa" w:w="4535"/>
            <w:vAlign w:val="center"/>
          </w:tcPr>
          <w:p>
            <w:r>
              <w:t>Le texte public pertinent est le BO de 2013 du BTS Systemes numeriques ; il indique que la fiche d'evaluation est jointe a la circulaire nationale d'organisation, mais aucune grille publique distincte du rapport d'activite n'a ete retrouvee.</w:t>
            </w:r>
          </w:p>
        </w:tc>
        <w:tc>
          <w:tcPr>
            <w:tcW w:type="dxa" w:w="1814"/>
            <w:vAlign w:val="center"/>
            <w:shd w:fill="D9EAF7"/>
          </w:tcPr>
          <w:p>
            <w:r>
              <w:rPr>
                <w:b/>
              </w:rPr>
              <w:t>Document jury</w:t>
            </w:r>
          </w:p>
        </w:tc>
        <w:tc>
          <w:tcPr>
            <w:tcW w:type="dxa" w:w="6009"/>
            <w:vAlign w:val="center"/>
          </w:tcPr>
          <w:p>
            <w:r>
              <w:t>Non retrouve</w:t>
            </w:r>
          </w:p>
        </w:tc>
      </w:tr>
    </w:tbl>
    <w:p/>
    <w:p>
      <w:r>
        <w:rPr>
          <w:b/>
        </w:rPr>
        <w:t>Echelle de positionnement conseillee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rPr>
              <w:t>NA</w:t>
            </w:r>
          </w:p>
        </w:tc>
        <w:tc>
          <w:tcPr>
            <w:tcW w:type="dxa" w:w="3563"/>
            <w:shd w:fill="D9EAF7"/>
          </w:tcPr>
          <w:p>
            <w:r>
              <w:rPr>
                <w:b/>
              </w:rPr>
              <w:t>PA</w:t>
            </w:r>
          </w:p>
        </w:tc>
        <w:tc>
          <w:tcPr>
            <w:tcW w:type="dxa" w:w="3563"/>
            <w:shd w:fill="D9EAF7"/>
          </w:tcPr>
          <w:p>
            <w:r>
              <w:rPr>
                <w:b/>
              </w:rPr>
              <w:t>A</w:t>
            </w:r>
          </w:p>
        </w:tc>
        <w:tc>
          <w:tcPr>
            <w:tcW w:type="dxa" w:w="3563"/>
            <w:shd w:fill="D9EAF7"/>
          </w:tcPr>
          <w:p>
            <w:r>
              <w:rPr>
                <w:b/>
              </w:rPr>
              <w:t>TB</w:t>
            </w:r>
          </w:p>
        </w:tc>
      </w:tr>
      <w:tr>
        <w:tc>
          <w:tcPr>
            <w:tcW w:type="dxa" w:w="3563"/>
          </w:tcPr>
          <w:p>
            <w:r>
              <w:t>Non observable / non acquis</w:t>
            </w:r>
          </w:p>
        </w:tc>
        <w:tc>
          <w:tcPr>
            <w:tcW w:type="dxa" w:w="3563"/>
          </w:tcPr>
          <w:p>
            <w:r>
              <w:t>Partiellement acquis</w:t>
            </w:r>
          </w:p>
        </w:tc>
        <w:tc>
          <w:tcPr>
            <w:tcW w:type="dxa" w:w="3563"/>
          </w:tcPr>
          <w:p>
            <w:r>
              <w:t>Acquis</w:t>
            </w:r>
          </w:p>
        </w:tc>
        <w:tc>
          <w:tcPr>
            <w:tcW w:type="dxa" w:w="3563"/>
          </w:tcPr>
          <w:p>
            <w:r>
              <w:t>Tres bien acquis</w:t>
            </w:r>
          </w:p>
        </w:tc>
      </w:tr>
    </w:tbl>
    <w:p/>
    <w:p>
      <w:r>
        <w:rPr>
          <w:b/>
        </w:rPr>
        <w:t>Grille d'evaluation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rPr>
              <w:t>Critere evalue</w:t>
            </w:r>
          </w:p>
        </w:tc>
        <w:tc>
          <w:tcPr>
            <w:tcW w:type="dxa" w:w="4762"/>
            <w:vAlign w:val="center"/>
            <w:shd w:fill="D9EAF7"/>
          </w:tcPr>
          <w:p>
            <w:pPr>
              <w:jc w:val="center"/>
            </w:pPr>
            <w:r>
              <w:rPr>
                <w:b/>
                <w:sz w:val="19"/>
              </w:rPr>
              <w:t>Indicateurs observables / questions d'appui</w:t>
            </w:r>
          </w:p>
        </w:tc>
        <w:tc>
          <w:tcPr>
            <w:tcW w:type="dxa" w:w="510"/>
            <w:vAlign w:val="center"/>
            <w:shd w:fill="D9EAF7"/>
          </w:tcPr>
          <w:p>
            <w:pPr>
              <w:jc w:val="center"/>
            </w:pPr>
            <w:r>
              <w:rPr>
                <w:b/>
                <w:sz w:val="19"/>
              </w:rPr>
              <w:t>NA</w:t>
            </w:r>
          </w:p>
        </w:tc>
        <w:tc>
          <w:tcPr>
            <w:tcW w:type="dxa" w:w="510"/>
            <w:vAlign w:val="center"/>
            <w:shd w:fill="D9EAF7"/>
          </w:tcPr>
          <w:p>
            <w:pPr>
              <w:jc w:val="center"/>
            </w:pPr>
            <w:r>
              <w:rPr>
                <w:b/>
                <w:sz w:val="19"/>
              </w:rPr>
              <w:t>PA</w:t>
            </w:r>
          </w:p>
        </w:tc>
        <w:tc>
          <w:tcPr>
            <w:tcW w:type="dxa" w:w="510"/>
            <w:vAlign w:val="center"/>
            <w:shd w:fill="D9EAF7"/>
          </w:tcPr>
          <w:p>
            <w:pPr>
              <w:jc w:val="center"/>
            </w:pPr>
            <w:r>
              <w:rPr>
                <w:b/>
                <w:sz w:val="19"/>
              </w:rPr>
              <w:t>A</w:t>
            </w:r>
          </w:p>
        </w:tc>
        <w:tc>
          <w:tcPr>
            <w:tcW w:type="dxa" w:w="510"/>
            <w:vAlign w:val="center"/>
            <w:shd w:fill="D9EAF7"/>
          </w:tcPr>
          <w:p>
            <w:pPr>
              <w:jc w:val="center"/>
            </w:pPr>
            <w:r>
              <w:rPr>
                <w:b/>
                <w:sz w:val="19"/>
              </w:rPr>
              <w:t>TB</w:t>
            </w:r>
          </w:p>
        </w:tc>
        <w:tc>
          <w:tcPr>
            <w:tcW w:type="dxa" w:w="3855"/>
            <w:vAlign w:val="center"/>
            <w:shd w:fill="D9EAF7"/>
          </w:tcPr>
          <w:p>
            <w:pPr>
              <w:jc w:val="center"/>
            </w:pPr>
            <w:r>
              <w:rPr>
                <w:b/>
                <w:sz w:val="19"/>
              </w:rPr>
              <w:t>Observations</w:t>
            </w:r>
          </w:p>
        </w:tc>
      </w:tr>
      <w:tr>
        <w:tc>
          <w:tcPr>
            <w:tcW w:type="dxa" w:w="3402"/>
            <w:vAlign w:val="center"/>
          </w:tcPr>
          <w:p>
            <w:pPr>
              <w:spacing w:after="0"/>
            </w:pPr>
            <w:r>
              <w:t>Qualite et conformite du rapport/support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 en systemes numeriques</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maitrise technique des activites realisees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des choix, resultats et ecarts</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qualite, de la securite, des procedures et des contraintes de couts/delais</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qualite de la soutenance et capacite de justification</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l'experience. Accent probable sur l'analyse d'activites ou d'interventions, l'insertion dans l'environnement entreprise, la justification technique et la communication professionnelle</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et conformité du rapport (30 pages max)</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des missions</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qualité, sécurité, procédures, coûts/délais</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l'expérience</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Communication adaptée au public</w:t>
            </w:r>
          </w:p>
        </w:tc>
        <w:tc>
          <w:tcPr>
            <w:tcW w:type="dxa" w:w="4762"/>
            <w:vAlign w:val="center"/>
          </w:tcPr>
          <w:p>
            <w:pPr>
              <w:spacing w:after="0"/>
            </w:pPr>
            <w:r>
              <w:t>Expression claire, structuree, argumentee et adaptee au questionnement du jury.</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bl>
    <w:p/>
    <w:p>
      <w:r>
        <w:rPr>
          <w:b/>
        </w:rPr>
        <w:t>Appreciation synthetique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rPr>
              <w:t>Points forts observes</w:t>
            </w:r>
          </w:p>
        </w:tc>
        <w:tc>
          <w:tcPr>
            <w:tcW w:type="dxa" w:w="10658"/>
          </w:tcPr>
          <w:p>
            <w:r/>
          </w:p>
        </w:tc>
      </w:tr>
      <w:tr>
        <w:tc>
          <w:tcPr>
            <w:tcW w:type="dxa" w:w="3402"/>
            <w:shd w:fill="D9EAF7"/>
          </w:tcPr>
          <w:p>
            <w:r>
              <w:rPr>
                <w:b/>
              </w:rPr>
              <w:t>Axes de progression / vigilance</w:t>
            </w:r>
          </w:p>
        </w:tc>
        <w:tc>
          <w:tcPr>
            <w:tcW w:type="dxa" w:w="10658"/>
          </w:tcPr>
          <w:p>
            <w:r/>
          </w:p>
        </w:tc>
      </w:tr>
      <w:tr>
        <w:tc>
          <w:tcPr>
            <w:tcW w:type="dxa" w:w="3402"/>
            <w:shd w:fill="D9EAF7"/>
          </w:tcPr>
          <w:p>
            <w:r>
              <w:rPr>
                <w:b/>
              </w:rPr>
              <w:t>Decision / note / positionnement local</w:t>
            </w:r>
          </w:p>
        </w:tc>
        <w:tc>
          <w:tcPr>
            <w:tcW w:type="dxa" w:w="10658"/>
          </w:tcPr>
          <w:p>
            <w:r/>
          </w:p>
        </w:tc>
      </w:tr>
    </w:tbl>
    <w:p/>
    <w:p>
      <w:r>
        <w:rPr>
          <w:b/>
        </w:rPr>
        <w:t>Fondement et sources de reconstitution</w:t>
      </w:r>
    </w:p>
    <w:p>
      <w:r>
        <w:t>BO 2013 : fiche d'evaluation annoncee dans la circulaire nationale d'organisation, mais non retrouvee publiquement ; synthese a partir du rapport d'activite et du referentiel.</w:t>
      </w:r>
    </w:p>
    <w:p>
      <w:r>
        <w:t>Les critères sont reconstitués à partir des objectifs de l'épreuve U6.1 (rapport d'activité en entreprise) décrits dans le référentiel du BTS SN, qui incluent la nécessité d'expliciter les objectifs, les résultats, les contraintes, et d'inclure des commentaires personnels et une conclusion. Une fiche d'appréciation est utilisée pour l'évaluation. Des éléments de la grille d'évaluation de la soutenance de stage pour l'option Informatique et Réseaux ont également été utilisés.</w:t>
      </w:r>
    </w:p>
    <w:p>
      <w:r>
        <w:rPr>
          <w:sz w:val="17"/>
        </w:rPr>
        <w:t>Referentiel : https://www.education.gouv.fr/bo/13/Hebdo47/ESRS1326216A.htm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