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Techniques et services en materiels agricoles</w:t>
      </w:r>
    </w:p>
    <w:p>
      <w:pPr>
        <w:jc w:val="center"/>
      </w:pPr>
      <w:r>
        <w:rPr>
          <w:i/>
          <w:sz w:val="21"/>
        </w:rPr>
        <w:t>Support evalue : Rapport d'activites en milieu professionnel | Modalite : Ponctuelle</w:t>
      </w:r>
    </w:p>
    <w:p>
      <w:pPr>
        <w:jc w:val="center"/>
      </w:pPr>
      <w:r>
        <w:rPr>
          <w:b/>
          <w:color w:val="4F81BD"/>
        </w:rPr>
        <w:t>Fiche inspiree d'une grille publique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Techniques et services en materiels agricoles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Support present mais pas CCF sur cette sous-epreuve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Rapport d'activites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U61 / E61 Activites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Toutes voies du tableau consulte : sous-epreuve en ponctuel oral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inspiree d'une grille publique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BO documente les activites en milieu professionnel, sans grille detaillee distincte retrouvee.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Non retrouve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et conformite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explicitation du contexte entreprise et de la mission en maintenance et services en materiels agricoles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technique des activites realisees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choix, resultats et ecarts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 la qualite, de la securite,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qualite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exigences de qualite, securite, reglementation et tracabilite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de recul sur l'experience. Accent probable sur l'analyse d'activites en milieu professionnel, la rigueur de methode, la securite, la qualite du service et la communication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Qualité et conformité du rapport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Démarches de recherche efficientes et informations pertinentes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Analyse des conditions de fonctionnement/dysfonctionnement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Présentation lisible, structurée et adaptée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Prise en compte des défauts et information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La posture professionnelle, l'ecoute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Identification et gestion des risques professionnels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Respect des règles environnementales, d'hygiène et de sécurité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Croisement entre l'epreuve E61 activites en milieu professionnel, le BO 2013 et le referentiel TSMA.</w:t>
      </w:r>
    </w:p>
    <w:p>
      <w:r>
        <w:t>Les critères sont directement issus d'une grille d'évaluation de l'unité U61 - Activités en milieu professionnel (rapport de stage) pour le BTS Techniques et Services en Matériels Agricoles.</w:t>
      </w:r>
    </w:p>
    <w:p>
      <w:r>
        <w:rPr>
          <w:sz w:val="17"/>
        </w:rPr>
        <w:t>Referentiel : https://www.education.gouv.fr/bo/13/Hebdo21/ESRS1307506A.htm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